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A4A1E">
        <w:rPr>
          <w:rFonts w:ascii="Times New Roman" w:hAnsi="Times New Roman" w:cs="Times New Roman"/>
          <w:b/>
          <w:sz w:val="24"/>
          <w:szCs w:val="24"/>
        </w:rPr>
        <w:t>8</w:t>
      </w:r>
      <w:r w:rsidR="009777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720DFF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294D9C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9C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5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86263A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86263A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86263A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3A" w:rsidRDefault="0086263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86263A" w:rsidRPr="00B20397" w:rsidRDefault="0086263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663"/>
        <w:gridCol w:w="2566"/>
        <w:gridCol w:w="502"/>
      </w:tblGrid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9777D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 xml:space="preserve">ул. </w:t>
            </w:r>
            <w:r w:rsidR="00720DFF">
              <w:rPr>
                <w:rFonts w:ascii="Times New Roman" w:hAnsi="Times New Roman" w:cs="Times New Roman"/>
                <w:b/>
              </w:rPr>
              <w:t>Солидарности</w:t>
            </w:r>
            <w:r w:rsidRPr="002817FA">
              <w:rPr>
                <w:rFonts w:ascii="Times New Roman" w:hAnsi="Times New Roman" w:cs="Times New Roman"/>
                <w:b/>
              </w:rPr>
              <w:t xml:space="preserve"> </w:t>
            </w:r>
            <w:r w:rsidR="004A4A1E">
              <w:rPr>
                <w:rFonts w:ascii="Times New Roman" w:hAnsi="Times New Roman" w:cs="Times New Roman"/>
                <w:b/>
              </w:rPr>
              <w:t>8</w:t>
            </w:r>
            <w:r w:rsidR="009777D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4A4A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19</w:t>
            </w:r>
            <w:r w:rsidR="004A4A1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2817FA" w:rsidTr="002817FA">
        <w:trPr>
          <w:trHeight w:val="283"/>
        </w:trPr>
        <w:tc>
          <w:tcPr>
            <w:tcW w:w="533" w:type="dxa"/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3" w:type="dxa"/>
            <w:vAlign w:val="bottom"/>
          </w:tcPr>
          <w:p w:rsidR="00D05DFC" w:rsidRPr="002817FA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E316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6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C1EB7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2817F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7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16254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r w:rsidRPr="0028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8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9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4A4A1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A4A1E">
              <w:rPr>
                <w:rFonts w:ascii="Times New Roman" w:hAnsi="Times New Roman" w:cs="Times New Roman"/>
                <w:b/>
              </w:rPr>
              <w:t>3890,83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10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11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0A1FE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2817FA" w:rsidTr="002817FA">
        <w:trPr>
          <w:trHeight w:val="283"/>
        </w:trPr>
        <w:tc>
          <w:tcPr>
            <w:tcW w:w="533" w:type="dxa"/>
            <w:vAlign w:val="bottom"/>
          </w:tcPr>
          <w:p w:rsidR="00E06315" w:rsidRPr="002817FA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12</w:t>
            </w:r>
            <w:r w:rsidR="002F63D7" w:rsidRPr="002817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4A4A1E" w:rsidP="00720DF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2F63D7" w:rsidRPr="002817F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2817FA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817FA">
              <w:rPr>
                <w:rFonts w:ascii="Times New Roman" w:hAnsi="Times New Roman" w:cs="Times New Roman"/>
              </w:rPr>
              <w:t>м</w:t>
            </w:r>
            <w:proofErr w:type="gramStart"/>
            <w:r w:rsidRPr="002817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D841BA" w:rsidRPr="0086263A" w:rsidRDefault="00D841BA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6263A" w:rsidRDefault="0086263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63A" w:rsidRDefault="0086263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86263A" w:rsidRPr="00B20397" w:rsidRDefault="0086263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617" w:type="dxa"/>
        <w:tblInd w:w="108" w:type="dxa"/>
        <w:tblLayout w:type="fixed"/>
        <w:tblLook w:val="01E0"/>
      </w:tblPr>
      <w:tblGrid>
        <w:gridCol w:w="709"/>
        <w:gridCol w:w="2835"/>
        <w:gridCol w:w="3544"/>
        <w:gridCol w:w="5529"/>
      </w:tblGrid>
      <w:tr w:rsidR="00B20397" w:rsidRPr="002561F8" w:rsidTr="0086263A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544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86263A" w:rsidRPr="002561F8" w:rsidTr="0086263A">
        <w:tc>
          <w:tcPr>
            <w:tcW w:w="709" w:type="dxa"/>
            <w:vAlign w:val="center"/>
          </w:tcPr>
          <w:p w:rsidR="0086263A" w:rsidRPr="002561F8" w:rsidRDefault="0086263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86263A" w:rsidRPr="002561F8" w:rsidRDefault="0086263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544" w:type="dxa"/>
            <w:vAlign w:val="center"/>
          </w:tcPr>
          <w:p w:rsidR="0086263A" w:rsidRPr="002561F8" w:rsidRDefault="0086263A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86263A" w:rsidRPr="002561F8" w:rsidRDefault="0086263A" w:rsidP="009364D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A4A1E" w:rsidRPr="002561F8" w:rsidTr="0086263A">
        <w:tc>
          <w:tcPr>
            <w:tcW w:w="709" w:type="dxa"/>
            <w:vAlign w:val="center"/>
          </w:tcPr>
          <w:p w:rsidR="004A4A1E" w:rsidRPr="002561F8" w:rsidRDefault="004A4A1E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4A4A1E" w:rsidRPr="002561F8" w:rsidRDefault="004A4A1E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544" w:type="dxa"/>
            <w:vAlign w:val="center"/>
          </w:tcPr>
          <w:p w:rsidR="004A4A1E" w:rsidRPr="002561F8" w:rsidRDefault="004A4A1E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5529" w:type="dxa"/>
            <w:vAlign w:val="center"/>
          </w:tcPr>
          <w:p w:rsidR="004A4A1E" w:rsidRPr="002561F8" w:rsidRDefault="004A4A1E" w:rsidP="005760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CC63F6">
              <w:rPr>
                <w:rFonts w:ascii="Times New Roman" w:hAnsi="Times New Roman" w:cs="Times New Roman"/>
              </w:rPr>
              <w:t>:</w:t>
            </w:r>
          </w:p>
        </w:tc>
      </w:tr>
      <w:tr w:rsidR="0086263A" w:rsidRPr="002561F8" w:rsidTr="0086263A">
        <w:tc>
          <w:tcPr>
            <w:tcW w:w="709" w:type="dxa"/>
            <w:vAlign w:val="center"/>
          </w:tcPr>
          <w:p w:rsidR="0086263A" w:rsidRPr="002561F8" w:rsidRDefault="0086263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86263A" w:rsidRPr="002561F8" w:rsidRDefault="0086263A" w:rsidP="0086263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544" w:type="dxa"/>
            <w:vAlign w:val="center"/>
          </w:tcPr>
          <w:p w:rsidR="0086263A" w:rsidRPr="00EC1EB7" w:rsidRDefault="0086263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C1EB7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86263A" w:rsidRPr="002561F8" w:rsidRDefault="0086263A" w:rsidP="009364D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86263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544" w:type="dxa"/>
            <w:vAlign w:val="center"/>
          </w:tcPr>
          <w:p w:rsidR="00525C1B" w:rsidRPr="00EC1EB7" w:rsidRDefault="00EC1EB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1EB7">
              <w:rPr>
                <w:b w:val="0"/>
                <w:sz w:val="20"/>
                <w:szCs w:val="20"/>
              </w:rPr>
              <w:t>ж/б</w:t>
            </w:r>
            <w:proofErr w:type="gramEnd"/>
            <w:r w:rsidRPr="00EC1EB7">
              <w:rPr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32939" w:rsidRPr="002561F8" w:rsidTr="0086263A">
        <w:tc>
          <w:tcPr>
            <w:tcW w:w="709" w:type="dxa"/>
            <w:vAlign w:val="center"/>
          </w:tcPr>
          <w:p w:rsidR="00932939" w:rsidRPr="002561F8" w:rsidRDefault="0093293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932939" w:rsidRPr="002561F8" w:rsidRDefault="0093293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544" w:type="dxa"/>
            <w:vAlign w:val="center"/>
          </w:tcPr>
          <w:p w:rsidR="00932939" w:rsidRPr="002561F8" w:rsidRDefault="00932939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932939" w:rsidRPr="002561F8" w:rsidRDefault="00932939" w:rsidP="004A4A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</w:t>
            </w:r>
            <w:r w:rsidR="004A4A1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32939" w:rsidRPr="002561F8" w:rsidTr="0086263A">
        <w:tc>
          <w:tcPr>
            <w:tcW w:w="709" w:type="dxa"/>
            <w:vAlign w:val="center"/>
          </w:tcPr>
          <w:p w:rsidR="00932939" w:rsidRPr="002561F8" w:rsidRDefault="0093293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932939" w:rsidRPr="002561F8" w:rsidRDefault="0093293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544" w:type="dxa"/>
            <w:vAlign w:val="center"/>
          </w:tcPr>
          <w:p w:rsidR="00932939" w:rsidRPr="000A1FED" w:rsidRDefault="004A4A1E" w:rsidP="0086263A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0A1FED">
              <w:rPr>
                <w:b w:val="0"/>
                <w:sz w:val="20"/>
                <w:szCs w:val="20"/>
              </w:rPr>
              <w:t xml:space="preserve"> </w:t>
            </w:r>
            <w:r w:rsidR="00932939" w:rsidRPr="000A1FED">
              <w:rPr>
                <w:b w:val="0"/>
                <w:sz w:val="20"/>
                <w:szCs w:val="20"/>
              </w:rPr>
              <w:t>1002 м</w:t>
            </w:r>
            <w:proofErr w:type="gramStart"/>
            <w:r w:rsidR="00932939" w:rsidRPr="000A1FED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="00932939" w:rsidRPr="000A1FED">
              <w:rPr>
                <w:b w:val="0"/>
                <w:sz w:val="20"/>
                <w:szCs w:val="20"/>
              </w:rPr>
              <w:t>,</w:t>
            </w:r>
            <w:r w:rsidR="0086263A">
              <w:rPr>
                <w:b w:val="0"/>
                <w:sz w:val="20"/>
                <w:szCs w:val="20"/>
              </w:rPr>
              <w:t xml:space="preserve"> </w:t>
            </w:r>
            <w:r w:rsidR="00932939" w:rsidRPr="000A1FED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932939" w:rsidRPr="0086263A" w:rsidRDefault="0086263A" w:rsidP="004A4A1E">
            <w:pPr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932939" w:rsidRPr="0086263A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Pr="0086263A">
              <w:rPr>
                <w:b w:val="0"/>
                <w:sz w:val="20"/>
                <w:szCs w:val="20"/>
              </w:rPr>
              <w:t>герметизация стыков кровельных плит – 720 м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CC63F6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432AE6" w:rsidRPr="002561F8" w:rsidTr="0086263A">
        <w:tc>
          <w:tcPr>
            <w:tcW w:w="709" w:type="dxa"/>
            <w:vAlign w:val="center"/>
          </w:tcPr>
          <w:p w:rsidR="00432AE6" w:rsidRPr="002561F8" w:rsidRDefault="00432AE6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vAlign w:val="center"/>
          </w:tcPr>
          <w:p w:rsidR="00432AE6" w:rsidRPr="002561F8" w:rsidRDefault="00432AE6" w:rsidP="0086263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544" w:type="dxa"/>
            <w:vAlign w:val="center"/>
          </w:tcPr>
          <w:p w:rsidR="00432AE6" w:rsidRPr="002561F8" w:rsidRDefault="00432AE6" w:rsidP="00EC1EB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432AE6" w:rsidRPr="002561F8" w:rsidRDefault="00432AE6" w:rsidP="00C82EF6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86263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86263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932939" w:rsidRPr="002561F8" w:rsidTr="0086263A">
        <w:tc>
          <w:tcPr>
            <w:tcW w:w="709" w:type="dxa"/>
            <w:vAlign w:val="center"/>
          </w:tcPr>
          <w:p w:rsidR="00932939" w:rsidRPr="002561F8" w:rsidRDefault="0093293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35" w:type="dxa"/>
            <w:vAlign w:val="center"/>
          </w:tcPr>
          <w:p w:rsidR="00932939" w:rsidRPr="002561F8" w:rsidRDefault="00932939" w:rsidP="0086263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544" w:type="dxa"/>
            <w:vAlign w:val="center"/>
          </w:tcPr>
          <w:p w:rsidR="00932939" w:rsidRPr="002561F8" w:rsidRDefault="00932939" w:rsidP="000A1FE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932939" w:rsidRPr="002561F8" w:rsidRDefault="00E8058E" w:rsidP="005760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93293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932939">
              <w:rPr>
                <w:rFonts w:ascii="Times New Roman" w:hAnsi="Times New Roman"/>
                <w:b w:val="0"/>
                <w:sz w:val="20"/>
                <w:szCs w:val="20"/>
              </w:rPr>
              <w:t>окраска</w:t>
            </w:r>
            <w:r w:rsidR="0093293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932939"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="00932939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86263A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835" w:type="dxa"/>
            <w:vMerge w:val="restart"/>
            <w:vAlign w:val="center"/>
          </w:tcPr>
          <w:p w:rsidR="00525C1B" w:rsidRPr="002561F8" w:rsidRDefault="00525C1B" w:rsidP="0086263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25C1B" w:rsidRPr="002561F8" w:rsidRDefault="00525C1B" w:rsidP="00DB514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DB514C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86263A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86263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544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86263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544" w:type="dxa"/>
            <w:vAlign w:val="center"/>
          </w:tcPr>
          <w:p w:rsidR="00525C1B" w:rsidRPr="002561F8" w:rsidRDefault="001367B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86263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08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86263A">
        <w:trPr>
          <w:trHeight w:val="647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8058E" w:rsidRPr="00E8058E" w:rsidRDefault="00E34136" w:rsidP="004A4A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8058E" w:rsidRPr="00E8058E" w:rsidRDefault="00DE62FB" w:rsidP="00E8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замена</w:t>
            </w:r>
            <w:r w:rsidR="001367BE"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крана шарового – </w:t>
            </w:r>
            <w:r w:rsidR="004A4A1E" w:rsidRPr="00E8058E">
              <w:rPr>
                <w:rFonts w:ascii="Times New Roman" w:hAnsi="Times New Roman"/>
                <w:b w:val="0"/>
                <w:sz w:val="20"/>
                <w:szCs w:val="20"/>
              </w:rPr>
              <w:t>70</w:t>
            </w:r>
            <w:r w:rsidR="00E8058E"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E8058E" w:rsidRPr="00E8058E" w:rsidRDefault="001367BE" w:rsidP="00E8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задвижки – </w:t>
            </w:r>
            <w:r w:rsidR="004A4A1E" w:rsidRPr="00E8058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="00E8058E"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E34136" w:rsidRPr="00E8058E" w:rsidRDefault="000A60B0" w:rsidP="00E8058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932939" w:rsidRPr="00E8058E">
              <w:rPr>
                <w:rFonts w:ascii="Times New Roman" w:hAnsi="Times New Roman"/>
                <w:b w:val="0"/>
                <w:sz w:val="20"/>
                <w:szCs w:val="20"/>
              </w:rPr>
              <w:t>амена дисковых затворов – 4 шт</w:t>
            </w:r>
          </w:p>
        </w:tc>
      </w:tr>
      <w:tr w:rsidR="00E34136" w:rsidRPr="002561F8" w:rsidTr="0086263A">
        <w:trPr>
          <w:trHeight w:val="434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544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8058E" w:rsidRPr="00E8058E" w:rsidRDefault="00E8058E" w:rsidP="004A4A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8058E" w:rsidRPr="00E8058E" w:rsidRDefault="004A4A1E" w:rsidP="00E8058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– 49</w:t>
            </w:r>
            <w:r w:rsidR="00E8058E"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E34136" w:rsidRPr="00E8058E" w:rsidRDefault="000652D3" w:rsidP="00E8058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0A60B0" w:rsidRPr="002561F8" w:rsidTr="0086263A">
        <w:trPr>
          <w:trHeight w:val="429"/>
        </w:trPr>
        <w:tc>
          <w:tcPr>
            <w:tcW w:w="709" w:type="dxa"/>
            <w:vAlign w:val="center"/>
          </w:tcPr>
          <w:p w:rsidR="000A60B0" w:rsidRPr="002561F8" w:rsidRDefault="000A60B0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0A60B0" w:rsidRPr="002561F8" w:rsidRDefault="000A60B0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544" w:type="dxa"/>
            <w:vAlign w:val="center"/>
          </w:tcPr>
          <w:p w:rsidR="000A60B0" w:rsidRPr="002561F8" w:rsidRDefault="000A60B0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8058E" w:rsidRPr="00E8058E" w:rsidRDefault="00E8058E" w:rsidP="004A4A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E8058E" w:rsidRPr="00E8058E" w:rsidRDefault="004A4A1E" w:rsidP="00E8058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восста</w:t>
            </w:r>
            <w:r w:rsidR="00E8058E" w:rsidRPr="00E8058E">
              <w:rPr>
                <w:rFonts w:ascii="Times New Roman" w:hAnsi="Times New Roman"/>
                <w:b w:val="0"/>
                <w:sz w:val="20"/>
                <w:szCs w:val="20"/>
              </w:rPr>
              <w:t>новление теплоизоляции – 250 м;</w:t>
            </w:r>
          </w:p>
          <w:p w:rsidR="000A60B0" w:rsidRPr="00E8058E" w:rsidRDefault="004A4A1E" w:rsidP="00E8058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– 24 шт</w:t>
            </w:r>
          </w:p>
        </w:tc>
      </w:tr>
      <w:tr w:rsidR="00B31E38" w:rsidRPr="002561F8" w:rsidTr="0086263A">
        <w:tc>
          <w:tcPr>
            <w:tcW w:w="709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835" w:type="dxa"/>
            <w:vAlign w:val="center"/>
          </w:tcPr>
          <w:p w:rsidR="00B31E38" w:rsidRPr="002561F8" w:rsidRDefault="00B31E38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544" w:type="dxa"/>
            <w:vAlign w:val="center"/>
          </w:tcPr>
          <w:p w:rsidR="00B31E38" w:rsidRPr="002561F8" w:rsidRDefault="00B31E3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B31E38" w:rsidRPr="00E8058E" w:rsidRDefault="00B31E38" w:rsidP="00D91BB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426393" w:rsidRPr="002561F8" w:rsidTr="0086263A">
        <w:tc>
          <w:tcPr>
            <w:tcW w:w="709" w:type="dxa"/>
            <w:vAlign w:val="center"/>
          </w:tcPr>
          <w:p w:rsidR="00426393" w:rsidRPr="002561F8" w:rsidRDefault="00426393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426393" w:rsidRPr="002561F8" w:rsidRDefault="00426393" w:rsidP="002817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544" w:type="dxa"/>
            <w:vAlign w:val="center"/>
          </w:tcPr>
          <w:p w:rsidR="00426393" w:rsidRPr="002561F8" w:rsidRDefault="00426393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E8058E" w:rsidRPr="00E8058E" w:rsidRDefault="000652D3" w:rsidP="004A4A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432AE6" w:rsidRPr="00E8058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:rsidR="00E8058E" w:rsidRPr="00E8058E" w:rsidRDefault="000A60B0" w:rsidP="00E8058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4A4A1E" w:rsidRPr="00E8058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E8058E" w:rsidRPr="00E8058E">
              <w:rPr>
                <w:rFonts w:ascii="Times New Roman" w:hAnsi="Times New Roman"/>
                <w:b w:val="0"/>
                <w:sz w:val="20"/>
                <w:szCs w:val="20"/>
              </w:rPr>
              <w:t>0 шт;</w:t>
            </w:r>
          </w:p>
          <w:p w:rsidR="00E8058E" w:rsidRPr="00E8058E" w:rsidRDefault="00522F53" w:rsidP="00E8058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1367BE" w:rsidRPr="00E8058E">
              <w:rPr>
                <w:rFonts w:ascii="Times New Roman" w:hAnsi="Times New Roman"/>
                <w:b w:val="0"/>
                <w:sz w:val="20"/>
                <w:szCs w:val="20"/>
              </w:rPr>
              <w:t>42</w:t>
            </w: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шт;</w:t>
            </w:r>
          </w:p>
          <w:p w:rsidR="00426393" w:rsidRPr="00E8058E" w:rsidRDefault="00E8058E" w:rsidP="00E8058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общедомового</w:t>
            </w:r>
            <w:proofErr w:type="spellEnd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счетчика</w:t>
            </w:r>
          </w:p>
        </w:tc>
      </w:tr>
    </w:tbl>
    <w:p w:rsidR="00825C1A" w:rsidRDefault="00825C1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E8058E" w:rsidRDefault="00E8058E" w:rsidP="00E8058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058E" w:rsidRDefault="00E8058E" w:rsidP="00E8058E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E8058E" w:rsidRPr="003311FC" w:rsidTr="00E8058E">
        <w:trPr>
          <w:trHeight w:val="1064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3311FC" w:rsidRDefault="00E8058E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3311FC" w:rsidRDefault="00E8058E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3311FC" w:rsidRDefault="00E8058E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3311FC" w:rsidRDefault="00E8058E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3311FC" w:rsidRDefault="00E8058E" w:rsidP="009364DF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E8058E" w:rsidRPr="00E8058E" w:rsidTr="00E8058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1412144,63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1 472 472,34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60 327,71   </w:t>
            </w:r>
          </w:p>
        </w:tc>
      </w:tr>
      <w:tr w:rsidR="00E8058E" w:rsidRPr="00E8058E" w:rsidTr="00E8058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134826,36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118442,02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16 384,34   </w:t>
            </w:r>
          </w:p>
        </w:tc>
      </w:tr>
      <w:tr w:rsidR="00E8058E" w:rsidRPr="00E8058E" w:rsidTr="00E8058E">
        <w:trPr>
          <w:trHeight w:val="2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1546970,99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1590914,36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E805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43 943,37   </w:t>
            </w:r>
          </w:p>
        </w:tc>
      </w:tr>
    </w:tbl>
    <w:p w:rsidR="00E8058E" w:rsidRDefault="00E8058E">
      <w:pPr>
        <w:rPr>
          <w:rFonts w:ascii="Times New Roman" w:hAnsi="Times New Roman"/>
          <w:b w:val="0"/>
          <w:sz w:val="24"/>
          <w:szCs w:val="24"/>
        </w:rPr>
      </w:pPr>
    </w:p>
    <w:p w:rsidR="00E8058E" w:rsidRDefault="00E8058E" w:rsidP="00E8058E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24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1780"/>
        <w:gridCol w:w="3748"/>
      </w:tblGrid>
      <w:tr w:rsidR="006C7D1E" w:rsidRPr="006C7D1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1. Долг на начало 2016</w:t>
            </w:r>
            <w:r w:rsidR="005A654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года: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1.1. Долг</w:t>
            </w:r>
            <w:proofErr w:type="gramStart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-88084,45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1.2. Долг по начислениям  за 2015г.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249411,08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1.2.1. задолженность собственников и нанимателей жилых помещений 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238085,01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1.2.2 .задолженность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11326,07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1 546 970,99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8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2.1. собственникам и нанимателями жилых помещений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1 546 970,99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1 377 531,77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540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1 377 531,77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8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3.1.1. оплата переходящей задолженности за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226 029,24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E8058E" w:rsidRPr="00E8058E" w:rsidTr="006C7D1E">
        <w:trPr>
          <w:trHeight w:val="285"/>
        </w:trPr>
        <w:tc>
          <w:tcPr>
            <w:tcW w:w="6961" w:type="dxa"/>
            <w:shd w:val="clear" w:color="auto" w:fill="auto"/>
            <w:vAlign w:val="center"/>
            <w:hideMark/>
          </w:tcPr>
          <w:p w:rsidR="00E8058E" w:rsidRPr="00E8058E" w:rsidRDefault="00E8058E" w:rsidP="006C7D1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3.1.2. оплата начислений 2016г.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8058E" w:rsidRPr="00E8058E" w:rsidRDefault="00E8058E" w:rsidP="00F3249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1 151 502,53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E8058E" w:rsidRPr="00E8058E" w:rsidRDefault="00E8058E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465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1 590 914,36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255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4.1. собственникам и нанимателями жилых помещений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1 590 914,36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177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132 027,82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BD7BF2" w:rsidRPr="00E8058E" w:rsidTr="006C7D1E">
        <w:trPr>
          <w:trHeight w:val="81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E8058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192 821,06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D7BF2" w:rsidRPr="00E8058E" w:rsidTr="006C7D1E">
        <w:trPr>
          <w:trHeight w:val="269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непогашенная  задолженность 2015г.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23 381,84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220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6C7D1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6.1.1.задолженность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11 326,07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123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Default="00BD7BF2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в и нанимателей жилых помещений</w:t>
            </w:r>
          </w:p>
          <w:p w:rsidR="00BD7BF2" w:rsidRPr="00E8058E" w:rsidRDefault="00BD7BF2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160 387,23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70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Default="00BD7BF2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BD7BF2" w:rsidRPr="00E8058E" w:rsidRDefault="00BD7BF2" w:rsidP="006C7D1E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9 051,99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D7BF2" w:rsidRPr="00E8058E" w:rsidTr="006C7D1E">
        <w:trPr>
          <w:trHeight w:val="215"/>
        </w:trPr>
        <w:tc>
          <w:tcPr>
            <w:tcW w:w="6961" w:type="dxa"/>
            <w:shd w:val="clear" w:color="auto" w:fill="auto"/>
            <w:vAlign w:val="center"/>
            <w:hideMark/>
          </w:tcPr>
          <w:p w:rsidR="00BD7BF2" w:rsidRPr="00E8058E" w:rsidRDefault="00BD7BF2" w:rsidP="006C7D1E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D7BF2" w:rsidRPr="00E8058E" w:rsidRDefault="00BD7BF2" w:rsidP="00D5507E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 xml:space="preserve">9 051,99   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:rsidR="00BD7BF2" w:rsidRPr="00E8058E" w:rsidRDefault="00BD7BF2" w:rsidP="00D5507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8058E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E8058E" w:rsidRDefault="00E8058E">
      <w:pPr>
        <w:rPr>
          <w:rFonts w:ascii="Times New Roman" w:hAnsi="Times New Roman"/>
          <w:b w:val="0"/>
          <w:sz w:val="24"/>
          <w:szCs w:val="24"/>
        </w:rPr>
      </w:pPr>
    </w:p>
    <w:p w:rsidR="00697FC6" w:rsidRDefault="00697FC6" w:rsidP="00697FC6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697FC6" w:rsidRDefault="00697FC6" w:rsidP="00697FC6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697FC6" w:rsidRDefault="00697FC6" w:rsidP="00697FC6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697FC6" w:rsidRDefault="00697FC6" w:rsidP="00697FC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8862060</wp:posOffset>
            </wp:positionH>
            <wp:positionV relativeFrom="paragraph">
              <wp:posOffset>634365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  <w:r w:rsidRPr="00697FC6">
        <w:rPr>
          <w:rFonts w:ascii="Times New Roman" w:hAnsi="Times New Roman"/>
          <w:b/>
          <w:i/>
          <w:sz w:val="5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FC6" w:rsidRDefault="00697FC6" w:rsidP="00697FC6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2FB" w:rsidRDefault="002812FB" w:rsidP="006C7D1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6C7D1E" w:rsidRPr="001A297E" w:rsidRDefault="006C7D1E" w:rsidP="006C7D1E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6C7D1E" w:rsidRPr="001A297E" w:rsidRDefault="006C7D1E" w:rsidP="006C7D1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6C7D1E" w:rsidRDefault="006C7D1E" w:rsidP="006C7D1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6C7D1E" w:rsidRDefault="006C7D1E" w:rsidP="006C7D1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6C7D1E" w:rsidRDefault="006C7D1E" w:rsidP="006C7D1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86</w:t>
      </w:r>
    </w:p>
    <w:p w:rsidR="006C7D1E" w:rsidRDefault="006C7D1E" w:rsidP="006C7D1E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6C7D1E" w:rsidRDefault="006C7D1E" w:rsidP="006C7D1E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2"/>
        <w:gridCol w:w="5954"/>
        <w:gridCol w:w="1276"/>
        <w:gridCol w:w="1138"/>
        <w:gridCol w:w="1271"/>
        <w:gridCol w:w="993"/>
      </w:tblGrid>
      <w:tr w:rsidR="006C7D1E" w:rsidRPr="001A297E" w:rsidTr="006C7D1E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6C7D1E" w:rsidRDefault="006C7D1E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>3888,92</w:t>
            </w:r>
          </w:p>
        </w:tc>
        <w:tc>
          <w:tcPr>
            <w:tcW w:w="2264" w:type="dxa"/>
            <w:gridSpan w:val="2"/>
            <w:vMerge w:val="restart"/>
            <w:shd w:val="clear" w:color="auto" w:fill="auto"/>
            <w:vAlign w:val="center"/>
            <w:hideMark/>
          </w:tcPr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6C7D1E" w:rsidRPr="001A297E" w:rsidTr="006C7D1E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>3888,92</w:t>
            </w:r>
          </w:p>
        </w:tc>
        <w:tc>
          <w:tcPr>
            <w:tcW w:w="2264" w:type="dxa"/>
            <w:gridSpan w:val="2"/>
            <w:vMerge/>
            <w:shd w:val="clear" w:color="auto" w:fill="auto"/>
            <w:vAlign w:val="center"/>
            <w:hideMark/>
          </w:tcPr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</w:p>
        </w:tc>
      </w:tr>
      <w:tr w:rsidR="006C7D1E" w:rsidRPr="001A297E" w:rsidTr="006C7D1E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6C7D1E" w:rsidRDefault="006C7D1E" w:rsidP="0053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  <w:hideMark/>
          </w:tcPr>
          <w:p w:rsidR="006C7D1E" w:rsidRDefault="006C7D1E" w:rsidP="00536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6C7D1E" w:rsidRPr="001A297E" w:rsidTr="006C7D1E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  <w:vAlign w:val="center"/>
            <w:hideMark/>
          </w:tcPr>
          <w:p w:rsidR="006C7D1E" w:rsidRPr="001A297E" w:rsidRDefault="006C7D1E" w:rsidP="00936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D1E" w:rsidRPr="001A297E" w:rsidRDefault="006C7D1E" w:rsidP="00536AC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6C7D1E" w:rsidRPr="006C7D1E" w:rsidTr="006C7D1E">
        <w:trPr>
          <w:trHeight w:val="198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77651B" w:rsidRDefault="006C7D1E" w:rsidP="009364DF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363 536,24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363536,24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6C7D1E" w:rsidRPr="006C7D1E" w:rsidTr="00536AC4">
        <w:trPr>
          <w:trHeight w:val="186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220 735,10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4,73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220735,10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4,73</w:t>
            </w:r>
          </w:p>
        </w:tc>
      </w:tr>
      <w:tr w:rsidR="006C7D1E" w:rsidRPr="006C7D1E" w:rsidTr="00536AC4">
        <w:trPr>
          <w:trHeight w:val="8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6" w:type="dxa"/>
            <w:gridSpan w:val="2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331 802,65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7,11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331802,65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7,11</w:t>
            </w:r>
          </w:p>
        </w:tc>
      </w:tr>
      <w:tr w:rsidR="006C7D1E" w:rsidRPr="006C7D1E" w:rsidTr="00536AC4">
        <w:trPr>
          <w:trHeight w:val="13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Дератизация  и дезинсекция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Дератизация - ежемесячно,  дезинсекция - 2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12 133,43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0,26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12133,43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0,26</w:t>
            </w:r>
          </w:p>
        </w:tc>
      </w:tr>
      <w:tr w:rsidR="006C7D1E" w:rsidRPr="006C7D1E" w:rsidTr="00536AC4">
        <w:trPr>
          <w:trHeight w:val="18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85 400,68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85400,68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6C7D1E" w:rsidRPr="006C7D1E" w:rsidTr="00536AC4">
        <w:trPr>
          <w:trHeight w:val="8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53 200,43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53200,43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6C7D1E" w:rsidRPr="006C7D1E" w:rsidTr="006C7D1E">
        <w:trPr>
          <w:trHeight w:val="8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32 200,26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0,69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32200,26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0,69</w:t>
            </w:r>
          </w:p>
        </w:tc>
      </w:tr>
      <w:tr w:rsidR="006C7D1E" w:rsidRPr="006C7D1E" w:rsidTr="006C7D1E">
        <w:trPr>
          <w:trHeight w:val="69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17 266,80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0,37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17266,80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0,37</w:t>
            </w:r>
          </w:p>
        </w:tc>
      </w:tr>
      <w:tr w:rsidR="006C7D1E" w:rsidRPr="006C7D1E" w:rsidTr="00536AC4">
        <w:trPr>
          <w:trHeight w:val="353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6C7D1E" w:rsidRPr="00893DFA" w:rsidRDefault="006C7D1E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1 116 275,60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23,92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>1116275,60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>23,92</w:t>
            </w:r>
          </w:p>
        </w:tc>
      </w:tr>
      <w:tr w:rsidR="006C7D1E" w:rsidRPr="006C7D1E" w:rsidTr="006C7D1E">
        <w:trPr>
          <w:trHeight w:val="13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536AC4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111 534,23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2,39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111534,23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2,39</w:t>
            </w:r>
          </w:p>
        </w:tc>
      </w:tr>
      <w:tr w:rsidR="006C7D1E" w:rsidRPr="006C7D1E" w:rsidTr="006C7D1E">
        <w:trPr>
          <w:trHeight w:val="48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C7D1E" w:rsidRPr="006C7D1E" w:rsidRDefault="00536AC4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184 334,81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3,95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244662,51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5,24</w:t>
            </w:r>
          </w:p>
        </w:tc>
      </w:tr>
      <w:tr w:rsidR="006C7D1E" w:rsidRPr="006C7D1E" w:rsidTr="00536AC4">
        <w:trPr>
          <w:trHeight w:val="110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6C7D1E" w:rsidRPr="00893DFA" w:rsidRDefault="006C7D1E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6C7D1E" w:rsidRPr="00893DFA" w:rsidRDefault="006C7D1E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1 412 144,63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30,26  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1 472 472,34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31,55   </w:t>
            </w:r>
          </w:p>
        </w:tc>
      </w:tr>
      <w:tr w:rsidR="006C7D1E" w:rsidRPr="006C7D1E" w:rsidTr="00536AC4">
        <w:trPr>
          <w:trHeight w:val="187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6C7D1E" w:rsidRPr="006C7D1E" w:rsidRDefault="00536AC4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2" w:type="dxa"/>
            <w:vMerge w:val="restart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Проведение тепловизионного обследования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10 000,00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0,21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10 890,00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0,23</w:t>
            </w:r>
          </w:p>
        </w:tc>
      </w:tr>
      <w:tr w:rsidR="006C7D1E" w:rsidRPr="006C7D1E" w:rsidTr="00536AC4">
        <w:trPr>
          <w:trHeight w:val="233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этажных электрических щитков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60 000,00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1,29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61 435,85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1,32</w:t>
            </w:r>
          </w:p>
        </w:tc>
      </w:tr>
      <w:tr w:rsidR="006C7D1E" w:rsidRPr="006C7D1E" w:rsidTr="00536AC4">
        <w:trPr>
          <w:trHeight w:val="137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2" w:type="dxa"/>
            <w:vMerge/>
            <w:shd w:val="clear" w:color="auto" w:fill="auto"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6C7D1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отмостки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64 826,36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1,39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 xml:space="preserve">46 116,17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b w:val="0"/>
                <w:sz w:val="20"/>
                <w:szCs w:val="20"/>
              </w:rPr>
              <w:t>0,99</w:t>
            </w:r>
          </w:p>
        </w:tc>
      </w:tr>
      <w:tr w:rsidR="006C7D1E" w:rsidRPr="006C7D1E" w:rsidTr="00536AC4">
        <w:trPr>
          <w:trHeight w:val="325"/>
        </w:trPr>
        <w:tc>
          <w:tcPr>
            <w:tcW w:w="10774" w:type="dxa"/>
            <w:gridSpan w:val="3"/>
            <w:shd w:val="clear" w:color="auto" w:fill="auto"/>
            <w:vAlign w:val="center"/>
            <w:hideMark/>
          </w:tcPr>
          <w:p w:rsidR="006C7D1E" w:rsidRPr="00893DFA" w:rsidRDefault="006C7D1E" w:rsidP="009364DF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134 826,36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2,89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118 442,02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2,54   </w:t>
            </w:r>
          </w:p>
        </w:tc>
      </w:tr>
      <w:tr w:rsidR="006C7D1E" w:rsidRPr="006C7D1E" w:rsidTr="00536AC4">
        <w:trPr>
          <w:trHeight w:val="273"/>
        </w:trPr>
        <w:tc>
          <w:tcPr>
            <w:tcW w:w="10774" w:type="dxa"/>
            <w:gridSpan w:val="3"/>
            <w:shd w:val="clear" w:color="auto" w:fill="auto"/>
            <w:noWrap/>
            <w:vAlign w:val="center"/>
            <w:hideMark/>
          </w:tcPr>
          <w:p w:rsidR="006C7D1E" w:rsidRPr="00893DFA" w:rsidRDefault="006C7D1E" w:rsidP="009364DF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1 546 970,99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33,15  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1 590 914,36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7D1E" w:rsidRPr="006C7D1E" w:rsidRDefault="006C7D1E" w:rsidP="00536AC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D1E">
              <w:rPr>
                <w:rFonts w:ascii="Times New Roman" w:hAnsi="Times New Roman"/>
                <w:sz w:val="20"/>
                <w:szCs w:val="20"/>
              </w:rPr>
              <w:t xml:space="preserve">34,09   </w:t>
            </w:r>
          </w:p>
        </w:tc>
      </w:tr>
    </w:tbl>
    <w:p w:rsidR="006C7D1E" w:rsidRPr="002561F8" w:rsidRDefault="006C7D1E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6C7D1E" w:rsidRPr="002561F8" w:rsidSect="0086263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0C"/>
    <w:multiLevelType w:val="hybridMultilevel"/>
    <w:tmpl w:val="B7723BD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0F67"/>
    <w:multiLevelType w:val="hybridMultilevel"/>
    <w:tmpl w:val="20FCC29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00100"/>
    <w:multiLevelType w:val="hybridMultilevel"/>
    <w:tmpl w:val="18CA65D4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90BC5"/>
    <w:multiLevelType w:val="hybridMultilevel"/>
    <w:tmpl w:val="79006E1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51D1C"/>
    <w:rsid w:val="00060D84"/>
    <w:rsid w:val="000652D3"/>
    <w:rsid w:val="000860D2"/>
    <w:rsid w:val="00092BD9"/>
    <w:rsid w:val="000A1FED"/>
    <w:rsid w:val="000A60B0"/>
    <w:rsid w:val="000B0801"/>
    <w:rsid w:val="001367BE"/>
    <w:rsid w:val="001376B6"/>
    <w:rsid w:val="00147EF4"/>
    <w:rsid w:val="00213264"/>
    <w:rsid w:val="002266F4"/>
    <w:rsid w:val="0023211D"/>
    <w:rsid w:val="002541CE"/>
    <w:rsid w:val="002561F8"/>
    <w:rsid w:val="002812FB"/>
    <w:rsid w:val="002817FA"/>
    <w:rsid w:val="00294D9C"/>
    <w:rsid w:val="002B4856"/>
    <w:rsid w:val="002F63D7"/>
    <w:rsid w:val="00312389"/>
    <w:rsid w:val="00322DBF"/>
    <w:rsid w:val="003654EE"/>
    <w:rsid w:val="00370C9A"/>
    <w:rsid w:val="0037159F"/>
    <w:rsid w:val="00376C59"/>
    <w:rsid w:val="003A11C5"/>
    <w:rsid w:val="003F2032"/>
    <w:rsid w:val="00426393"/>
    <w:rsid w:val="00432AE6"/>
    <w:rsid w:val="00456F6B"/>
    <w:rsid w:val="004576B4"/>
    <w:rsid w:val="00480A59"/>
    <w:rsid w:val="004A4A1E"/>
    <w:rsid w:val="004B5ED8"/>
    <w:rsid w:val="00502DF3"/>
    <w:rsid w:val="00516035"/>
    <w:rsid w:val="00522F53"/>
    <w:rsid w:val="00525C1B"/>
    <w:rsid w:val="00536AC4"/>
    <w:rsid w:val="00581B69"/>
    <w:rsid w:val="005A6548"/>
    <w:rsid w:val="005D7943"/>
    <w:rsid w:val="005E4761"/>
    <w:rsid w:val="00644B5E"/>
    <w:rsid w:val="0068270C"/>
    <w:rsid w:val="00697FC6"/>
    <w:rsid w:val="006A2FF9"/>
    <w:rsid w:val="006C7D1E"/>
    <w:rsid w:val="006F4781"/>
    <w:rsid w:val="006F5132"/>
    <w:rsid w:val="00713C86"/>
    <w:rsid w:val="00720DFF"/>
    <w:rsid w:val="00731F3A"/>
    <w:rsid w:val="00737041"/>
    <w:rsid w:val="007A64A7"/>
    <w:rsid w:val="007F4E8E"/>
    <w:rsid w:val="008038A7"/>
    <w:rsid w:val="00825C1A"/>
    <w:rsid w:val="0086263A"/>
    <w:rsid w:val="008A4F07"/>
    <w:rsid w:val="00932939"/>
    <w:rsid w:val="009777DC"/>
    <w:rsid w:val="00990493"/>
    <w:rsid w:val="00996B61"/>
    <w:rsid w:val="009D67C4"/>
    <w:rsid w:val="009E58E2"/>
    <w:rsid w:val="00A20D9E"/>
    <w:rsid w:val="00A30BD2"/>
    <w:rsid w:val="00A60526"/>
    <w:rsid w:val="00AB310F"/>
    <w:rsid w:val="00AF35F4"/>
    <w:rsid w:val="00B20397"/>
    <w:rsid w:val="00B31E38"/>
    <w:rsid w:val="00B65046"/>
    <w:rsid w:val="00B76B96"/>
    <w:rsid w:val="00BD7BF2"/>
    <w:rsid w:val="00C04A26"/>
    <w:rsid w:val="00CC277E"/>
    <w:rsid w:val="00CC63F6"/>
    <w:rsid w:val="00CD6D35"/>
    <w:rsid w:val="00D05DFC"/>
    <w:rsid w:val="00D841BA"/>
    <w:rsid w:val="00DA5010"/>
    <w:rsid w:val="00DB43D3"/>
    <w:rsid w:val="00DB514C"/>
    <w:rsid w:val="00DD2A26"/>
    <w:rsid w:val="00DD79A5"/>
    <w:rsid w:val="00DE62FB"/>
    <w:rsid w:val="00DF2A5E"/>
    <w:rsid w:val="00E0130A"/>
    <w:rsid w:val="00E06315"/>
    <w:rsid w:val="00E11E94"/>
    <w:rsid w:val="00E203A2"/>
    <w:rsid w:val="00E31615"/>
    <w:rsid w:val="00E34136"/>
    <w:rsid w:val="00E65D0A"/>
    <w:rsid w:val="00E673F2"/>
    <w:rsid w:val="00E8058E"/>
    <w:rsid w:val="00E87264"/>
    <w:rsid w:val="00EA19BB"/>
    <w:rsid w:val="00EB62A8"/>
    <w:rsid w:val="00EC1EB7"/>
    <w:rsid w:val="00F32497"/>
    <w:rsid w:val="00F4311E"/>
    <w:rsid w:val="00FA4758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BB4D08-7597-44C7-96FB-76DA37F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9</cp:revision>
  <cp:lastPrinted>2010-02-11T08:41:00Z</cp:lastPrinted>
  <dcterms:created xsi:type="dcterms:W3CDTF">2017-04-11T04:49:00Z</dcterms:created>
  <dcterms:modified xsi:type="dcterms:W3CDTF">2017-08-16T08:22:00Z</dcterms:modified>
</cp:coreProperties>
</file>